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Казахский национальный университет им. Аль-Фараби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12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Факультет медицины и здравоохранения</w:t>
      </w:r>
    </w:p>
    <w:p w:rsidR="00000000" w:rsidDel="00000000" w:rsidP="00000000" w:rsidRDefault="00000000" w:rsidRPr="00000000" w14:paraId="00000003">
      <w:pPr>
        <w:spacing w:after="0" w:line="240" w:lineRule="auto"/>
        <w:ind w:right="126"/>
        <w:jc w:val="center"/>
        <w:rPr/>
      </w:pPr>
      <w:r w:rsidDel="00000000" w:rsidR="00000000" w:rsidRPr="00000000">
        <w:rPr>
          <w:b w:val="1"/>
          <w:rtl w:val="0"/>
        </w:rPr>
        <w:t xml:space="preserve">Высшая школа медицины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127"/>
        <w:jc w:val="center"/>
        <w:rPr/>
      </w:pPr>
      <w:r w:rsidDel="00000000" w:rsidR="00000000" w:rsidRPr="00000000">
        <w:rPr>
          <w:b w:val="1"/>
          <w:rtl w:val="0"/>
        </w:rPr>
        <w:t xml:space="preserve">Кафедра фундаментальной медицины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142" w:firstLine="566.929133858267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График выполнения СРС по дисциплине «Механизмы защиты и здоровья»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40" w:lineRule="auto"/>
        <w:ind w:left="10" w:right="-62.5984251968498" w:firstLine="566.929133858267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-2023 академический год </w:t>
      </w:r>
    </w:p>
    <w:p w:rsidR="00000000" w:rsidDel="00000000" w:rsidP="00000000" w:rsidRDefault="00000000" w:rsidRPr="00000000" w14:paraId="00000008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-8.000000000000014" w:type="dxa"/>
        <w:tblLayout w:type="fixed"/>
        <w:tblLook w:val="0000"/>
      </w:tblPr>
      <w:tblGrid>
        <w:gridCol w:w="435"/>
        <w:gridCol w:w="4485"/>
        <w:gridCol w:w="1980"/>
        <w:gridCol w:w="1410"/>
        <w:gridCol w:w="1080"/>
        <w:tblGridChange w:id="0">
          <w:tblGrid>
            <w:gridCol w:w="435"/>
            <w:gridCol w:w="4485"/>
            <w:gridCol w:w="1980"/>
            <w:gridCol w:w="1410"/>
            <w:gridCol w:w="1080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0" w:right="8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 для СРС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150" w:right="0" w:firstLine="30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Форма выполнения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0" w:right="7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СРС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0" w:right="7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Сроки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0" w:right="8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(недели)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15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Баллы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right="77" w:firstLine="0"/>
              <w:rPr/>
            </w:pPr>
            <w:r w:rsidDel="00000000" w:rsidR="00000000" w:rsidRPr="00000000">
              <w:rPr>
                <w:rtl w:val="0"/>
              </w:rPr>
              <w:t xml:space="preserve">Создайте кейс, который включает в себя концепции трех дисциплин - биохимии, микробиологии и иммунологии.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12">
            <w:pPr>
              <w:spacing w:after="15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PPTX  (5-6 студентов в каждой команде).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3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17-я неделя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4.0" w:type="dxa"/>
              <w:left w:w="98.0" w:type="dxa"/>
              <w:bottom w:w="0.0" w:type="dxa"/>
              <w:right w:w="36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right="7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15" w:right="-62.5984251968498" w:hanging="15"/>
        <w:rPr/>
      </w:pPr>
      <w:r w:rsidDel="00000000" w:rsidR="00000000" w:rsidRPr="00000000">
        <w:rPr>
          <w:rtl w:val="0"/>
        </w:rPr>
        <w:t xml:space="preserve">Для реализации СРС используется как учебная литература, так и источники, рекомендованные в курсе, а также найденные самостоятельно. СРС сдаётся строго по графику. В случае благоприятных обстоятельств (при наличии документального подтверждения) СРС может быть принята вне графика.  </w:t>
      </w:r>
    </w:p>
    <w:p w:rsidR="00000000" w:rsidDel="00000000" w:rsidP="00000000" w:rsidRDefault="00000000" w:rsidRPr="00000000" w14:paraId="00000017">
      <w:pPr>
        <w:spacing w:after="0" w:line="240" w:lineRule="auto"/>
        <w:ind w:left="0" w:right="-62.5984251968498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Кейс должен состоять из следующих частей: </w:t>
      </w:r>
    </w:p>
    <w:p w:rsidR="00000000" w:rsidDel="00000000" w:rsidP="00000000" w:rsidRDefault="00000000" w:rsidRPr="00000000" w14:paraId="00000018">
      <w:pPr>
        <w:spacing w:after="0" w:line="240" w:lineRule="auto"/>
        <w:ind w:left="0" w:right="124" w:firstLine="566.9291338582675"/>
        <w:rPr>
          <w:b w:val="1"/>
        </w:rPr>
      </w:pPr>
      <w:r w:rsidDel="00000000" w:rsidR="00000000" w:rsidRPr="00000000">
        <w:rPr>
          <w:b w:val="1"/>
          <w:rtl w:val="0"/>
        </w:rPr>
        <w:t xml:space="preserve">1. Резюме / Руководящая сводка.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Обозначьте цель ситуационного исследования.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Опишите область исследования.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Обозначьте проблемы и выводы исследования без конкретных деталей.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Определите теорию, которая будет использоваться. </w:t>
      </w:r>
    </w:p>
    <w:p w:rsidR="00000000" w:rsidDel="00000000" w:rsidP="00000000" w:rsidRDefault="00000000" w:rsidRPr="00000000" w14:paraId="0000001D">
      <w:pPr>
        <w:spacing w:after="0" w:line="240" w:lineRule="auto"/>
        <w:ind w:left="0" w:right="124" w:firstLine="566.9291338582675"/>
        <w:rPr>
          <w:b w:val="1"/>
        </w:rPr>
      </w:pPr>
      <w:r w:rsidDel="00000000" w:rsidR="00000000" w:rsidRPr="00000000">
        <w:rPr>
          <w:b w:val="1"/>
          <w:rtl w:val="0"/>
        </w:rPr>
        <w:t xml:space="preserve">2. Выводы - определите проблемы, обнаруженные в кейсе: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анализируя проблемы, подкрепляя свои выводы фактами, приведенными в кейсе, соответствующей теорией и концепциями курса.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разыскивая основные проблемы. </w:t>
      </w:r>
    </w:p>
    <w:p w:rsidR="00000000" w:rsidDel="00000000" w:rsidP="00000000" w:rsidRDefault="00000000" w:rsidRPr="00000000" w14:paraId="00000020">
      <w:pPr>
        <w:spacing w:after="0" w:line="240" w:lineRule="auto"/>
        <w:ind w:left="0" w:right="124" w:firstLine="566.9291338582675"/>
        <w:rPr>
          <w:b w:val="1"/>
        </w:rPr>
      </w:pPr>
      <w:r w:rsidDel="00000000" w:rsidR="00000000" w:rsidRPr="00000000">
        <w:rPr>
          <w:b w:val="1"/>
          <w:rtl w:val="0"/>
        </w:rPr>
        <w:t xml:space="preserve">3. Обсуждение.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Обобщите основную проблему/проблемы.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Определите альтернативные решения этой/этих основных проблем.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Кратко опишите каждое альтернативное решение и оцените его преимущества и недостатки. </w:t>
      </w:r>
    </w:p>
    <w:p w:rsidR="00000000" w:rsidDel="00000000" w:rsidP="00000000" w:rsidRDefault="00000000" w:rsidRPr="00000000" w14:paraId="00000024">
      <w:pPr>
        <w:spacing w:after="0" w:line="240" w:lineRule="auto"/>
        <w:ind w:left="0" w:right="124" w:firstLine="566.9291338582675"/>
        <w:rPr>
          <w:b w:val="1"/>
        </w:rPr>
      </w:pPr>
      <w:r w:rsidDel="00000000" w:rsidR="00000000" w:rsidRPr="00000000">
        <w:rPr>
          <w:b w:val="1"/>
          <w:rtl w:val="0"/>
        </w:rPr>
        <w:t xml:space="preserve">4. Заключение.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="240" w:lineRule="auto"/>
        <w:ind w:left="566.9291338582675" w:right="124" w:hanging="285"/>
        <w:rPr/>
      </w:pPr>
      <w:r w:rsidDel="00000000" w:rsidR="00000000" w:rsidRPr="00000000">
        <w:rPr>
          <w:rtl w:val="0"/>
        </w:rPr>
        <w:t xml:space="preserve">Подведите итоги основных выводов и обсуждения. </w:t>
      </w:r>
    </w:p>
    <w:p w:rsidR="00000000" w:rsidDel="00000000" w:rsidP="00000000" w:rsidRDefault="00000000" w:rsidRPr="00000000" w14:paraId="00000026">
      <w:pPr>
        <w:spacing w:after="0" w:line="240" w:lineRule="auto"/>
        <w:ind w:left="0" w:right="124" w:firstLine="566.9291338582675"/>
        <w:rPr>
          <w:b w:val="1"/>
        </w:rPr>
      </w:pPr>
      <w:r w:rsidDel="00000000" w:rsidR="00000000" w:rsidRPr="00000000">
        <w:rPr>
          <w:b w:val="1"/>
          <w:rtl w:val="0"/>
        </w:rPr>
        <w:t xml:space="preserve">5. Рекомендации.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566.9291338582675" w:right="124" w:hanging="283.46456692913375"/>
        <w:rPr/>
      </w:pPr>
      <w:r w:rsidDel="00000000" w:rsidR="00000000" w:rsidRPr="00000000">
        <w:rPr>
          <w:rtl w:val="0"/>
        </w:rPr>
        <w:t xml:space="preserve">Выберите, какое из альтернативных решений следует принять.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566.9291338582675" w:right="124" w:hanging="283.46456692913375"/>
        <w:rPr/>
      </w:pPr>
      <w:r w:rsidDel="00000000" w:rsidR="00000000" w:rsidRPr="00000000">
        <w:rPr>
          <w:rtl w:val="0"/>
        </w:rPr>
        <w:t xml:space="preserve">Кратко обоснуйте свой выбор, объяснив, как это решит основную проблему/проблемы.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566.9291338582675" w:right="124" w:hanging="283.46456692913375"/>
        <w:rPr/>
      </w:pPr>
      <w:r w:rsidDel="00000000" w:rsidR="00000000" w:rsidRPr="00000000">
        <w:rPr>
          <w:rtl w:val="0"/>
        </w:rPr>
        <w:t xml:space="preserve">Это должно быть написано убедительно, поскольку этот раздел призван быть убедительным.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566.9291338582675" w:right="124" w:hanging="283.46456692913375"/>
        <w:rPr/>
      </w:pPr>
      <w:r w:rsidDel="00000000" w:rsidR="00000000" w:rsidRPr="00000000">
        <w:rPr>
          <w:rtl w:val="0"/>
        </w:rPr>
        <w:t xml:space="preserve">Здесь уместна интеграция теории и курсовой работы. </w:t>
      </w:r>
    </w:p>
    <w:p w:rsidR="00000000" w:rsidDel="00000000" w:rsidP="00000000" w:rsidRDefault="00000000" w:rsidRPr="00000000" w14:paraId="0000002B">
      <w:pPr>
        <w:spacing w:after="0" w:line="240" w:lineRule="auto"/>
        <w:ind w:left="0" w:right="124" w:firstLine="566.9291338582675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6. Реализация.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566.9291338582675" w:right="124" w:hanging="283.46456692913375"/>
        <w:rPr/>
      </w:pPr>
      <w:r w:rsidDel="00000000" w:rsidR="00000000" w:rsidRPr="00000000">
        <w:rPr>
          <w:rtl w:val="0"/>
        </w:rPr>
        <w:t xml:space="preserve">Объясните, что должно быть сделано, кем и когда. </w:t>
      </w:r>
    </w:p>
    <w:p w:rsidR="00000000" w:rsidDel="00000000" w:rsidP="00000000" w:rsidRDefault="00000000" w:rsidRPr="00000000" w14:paraId="0000002D">
      <w:pPr>
        <w:spacing w:after="0" w:line="240" w:lineRule="auto"/>
        <w:ind w:left="566.9291338582675" w:right="12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Ссылки.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566.9291338582675" w:right="124" w:hanging="283.46456692913375"/>
        <w:rPr/>
      </w:pPr>
      <w:r w:rsidDel="00000000" w:rsidR="00000000" w:rsidRPr="00000000">
        <w:rPr>
          <w:rtl w:val="0"/>
        </w:rPr>
        <w:t xml:space="preserve">Убедитесь, что все ссылки указаны правильно. </w:t>
      </w:r>
    </w:p>
    <w:p w:rsidR="00000000" w:rsidDel="00000000" w:rsidP="00000000" w:rsidRDefault="00000000" w:rsidRPr="00000000" w14:paraId="0000002F">
      <w:pPr>
        <w:spacing w:after="0" w:line="240" w:lineRule="auto"/>
        <w:ind w:left="566.9291338582675" w:right="12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8. Приложения (если есть).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566.9291338582675" w:right="124" w:hanging="283.46456692913375"/>
        <w:rPr/>
      </w:pPr>
      <w:r w:rsidDel="00000000" w:rsidR="00000000" w:rsidRPr="00000000">
        <w:rPr>
          <w:rtl w:val="0"/>
        </w:rPr>
        <w:t xml:space="preserve">Прикрепите любые исходные данные, относящиеся к исследованию, но которые могли бы нарушить течение основной части.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" w:line="259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12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Критерии оценивания кейса</w:t>
      </w:r>
    </w:p>
    <w:p w:rsidR="00000000" w:rsidDel="00000000" w:rsidP="00000000" w:rsidRDefault="00000000" w:rsidRPr="00000000" w14:paraId="00000034">
      <w:pPr>
        <w:spacing w:after="12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2010"/>
        <w:gridCol w:w="2010"/>
        <w:gridCol w:w="2010"/>
        <w:gridCol w:w="1830"/>
        <w:tblGridChange w:id="0">
          <w:tblGrid>
            <w:gridCol w:w="1605"/>
            <w:gridCol w:w="2010"/>
            <w:gridCol w:w="2010"/>
            <w:gridCol w:w="2010"/>
            <w:gridCol w:w="1830"/>
          </w:tblGrid>
        </w:tblGridChange>
      </w:tblGrid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Критические элементы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Образцовое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Умелое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Нуждается в улучшении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Неубедительное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Основные элементы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Включает в себя все основные элементы и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требования и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приводит несколько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примеров для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иллюстрации каждого элемента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Включает большинство основных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элементов и требований и приводит множество примеров для иллюстрации каждого элемента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Включает некоторые из основных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элементов и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требований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 включает ни одного        </w:t>
              <w:tab/>
              <w:t xml:space="preserve">из основных элементов и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требований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Анализ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Обеспечивает углубленный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анализ, полное понимание множества концепций.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Обеспечивает углубленный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анализ, полное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понимание некоторых концепций.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Обеспечивает углубленный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анализ, полное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понимание минимума концепций.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 обеспечивает глубокого анализа.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Целостность и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применение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Все концепции курса правильно применены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Большинство концепций курса правильно применены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Некоторые концепции курса правильно применены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Никакие концепции курса не применяются правильно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Критическое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мышление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Создаёт проницательные выводы, которые тщательно подкрепляются доказательствами и примерами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Создаёт информативные выводы, обоснованные доказательствами примерами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Создаёт логические выводы, но не защищает их доказательствами примерами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 создаёт логические выводы</w:t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Решение проблем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Студент активно ищет и предлагает решение проблем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Студент улучшает решения, предложенные другими членами группы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Студент не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предлагает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собственных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решений, но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готов попробовать решения, предложенные другими членами группы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Студент не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пытается решить проблемы или помочь другим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решить проблемы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Исследование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Эффективно объединяет множество научных источников, отражающих глубину и широту исследования.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Эффективно включает некоторые научные источники, которые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отражают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глубину и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широту исследования.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Включает очень мало научных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источников,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отражающих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глубину и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широту исследования.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60.0" w:type="dxa"/>
              <w:left w:w="10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 включает научные источники, отражающие глубину и широту исследования.</w:t>
            </w:r>
          </w:p>
        </w:tc>
      </w:tr>
    </w:tbl>
    <w:p w:rsidR="00000000" w:rsidDel="00000000" w:rsidP="00000000" w:rsidRDefault="00000000" w:rsidRPr="00000000" w14:paraId="00000074">
      <w:pPr>
        <w:spacing w:after="12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Пример кейса</w:t>
      </w:r>
    </w:p>
    <w:p w:rsidR="00000000" w:rsidDel="00000000" w:rsidP="00000000" w:rsidRDefault="00000000" w:rsidRPr="00000000" w14:paraId="00000076">
      <w:pPr>
        <w:spacing w:after="0" w:line="240" w:lineRule="auto"/>
        <w:ind w:left="0" w:right="0" w:firstLine="0"/>
        <w:jc w:val="center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Биологический терроризм:</w:t>
      </w:r>
    </w:p>
    <w:p w:rsidR="00000000" w:rsidDel="00000000" w:rsidP="00000000" w:rsidRDefault="00000000" w:rsidRPr="00000000" w14:paraId="00000077">
      <w:pPr>
        <w:spacing w:after="0" w:line="240" w:lineRule="auto"/>
        <w:ind w:left="0" w:right="0" w:firstLine="0"/>
        <w:jc w:val="center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Страх перед сибирской язвой 2001 года</w:t>
      </w:r>
    </w:p>
    <w:p w:rsidR="00000000" w:rsidDel="00000000" w:rsidP="00000000" w:rsidRDefault="00000000" w:rsidRPr="00000000" w14:paraId="00000078">
      <w:pPr>
        <w:spacing w:after="0" w:line="240" w:lineRule="auto"/>
        <w:ind w:left="0" w:right="0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Сибирская язва-серьезное инфекционное заболевание, вызываемое грамположительными палочковидными бактериями, известными как Bacillus anthracis. Хотя это случается редко, люди могут заболеть сибирской язвой, если они вступят в контакт с инфицированными животными или загрязненными продуктами животного происхождения.</w:t>
      </w:r>
    </w:p>
    <w:p w:rsidR="00000000" w:rsidDel="00000000" w:rsidP="00000000" w:rsidRDefault="00000000" w:rsidRPr="00000000" w14:paraId="00000079">
      <w:pPr>
        <w:spacing w:after="0" w:line="240" w:lineRule="auto"/>
        <w:ind w:left="0" w:right="0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Если бы произошла атака биотеррористов, Bacillus anthracis, бактерия, вызывающая сибирскую язву, была бы одним из наиболее вероятных биологических агентов, которые будут использованы. Биологические агенты-это микробы, которые могут поражать или убивать людей, домашний скот или сельскохозяйственные культуры. Сибирская язва является одним из наиболее вероятных агентов, которые будут использоваться, потому что:</w:t>
      </w:r>
    </w:p>
    <w:p w:rsidR="00000000" w:rsidDel="00000000" w:rsidP="00000000" w:rsidRDefault="00000000" w:rsidRPr="00000000" w14:paraId="0000007A">
      <w:pPr>
        <w:spacing w:after="0" w:line="240" w:lineRule="auto"/>
        <w:ind w:left="0" w:right="0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Споры сибирской язвы легко обнаруживаются в природе, могут быть получены в лаборатории и могут длительное время сохраняться в окружающей среде.</w:t>
      </w:r>
    </w:p>
    <w:p w:rsidR="00000000" w:rsidDel="00000000" w:rsidP="00000000" w:rsidRDefault="00000000" w:rsidRPr="00000000" w14:paraId="0000007B">
      <w:pPr>
        <w:spacing w:after="0" w:line="240" w:lineRule="auto"/>
        <w:ind w:left="0" w:right="0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Сибирская язва-хорошее оружие, потому что ее можно выпустить тихо и незаметно. Микроскопические споры можно было поместить в порошки, спреи, пищу и воду.</w:t>
      </w:r>
    </w:p>
    <w:p w:rsidR="00000000" w:rsidDel="00000000" w:rsidP="00000000" w:rsidRDefault="00000000" w:rsidRPr="00000000" w14:paraId="0000007C">
      <w:pPr>
        <w:spacing w:after="0" w:line="240" w:lineRule="auto"/>
        <w:ind w:left="0" w:right="0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Из-за того, что они такие маленькие, вы, возможно, не сможете их увидеть, понюхать или попробовать на вкус.</w:t>
      </w:r>
    </w:p>
    <w:p w:rsidR="00000000" w:rsidDel="00000000" w:rsidP="00000000" w:rsidRDefault="00000000" w:rsidRPr="00000000" w14:paraId="0000007D">
      <w:pPr>
        <w:spacing w:after="0" w:line="240" w:lineRule="auto"/>
        <w:ind w:left="0" w:right="0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Сибирская язва и раньше использовалась в качестве оружия.</w:t>
      </w:r>
    </w:p>
    <w:p w:rsidR="00000000" w:rsidDel="00000000" w:rsidP="00000000" w:rsidRDefault="00000000" w:rsidRPr="00000000" w14:paraId="0000007E">
      <w:pPr>
        <w:spacing w:after="0" w:line="240" w:lineRule="auto"/>
        <w:ind w:left="0" w:right="0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Сибирская язва используется в качестве оружия во всем мире уже почти столетие. В 2001 году порошкообразные споры сибирской язвы были намеренно помещены в письма, которые отправлялись по почте через почтовую систему США. Двадцать два человека, в том числе 12 почтальонов, заболели сибирской язвой, и пять из этих 22 человек умерли.</w:t>
      </w:r>
    </w:p>
    <w:p w:rsidR="00000000" w:rsidDel="00000000" w:rsidP="00000000" w:rsidRDefault="00000000" w:rsidRPr="00000000" w14:paraId="0000007F">
      <w:pPr>
        <w:spacing w:after="0" w:line="240" w:lineRule="auto"/>
        <w:ind w:left="0" w:right="0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Атака сибирской язвы может принимать различные формы. Например, его можно было бы поместить в письма и отправить по почте, как это было сделано в 2001 году, или его можно было бы положить в пищу или воду. Сибирская язва также может быть выброшена в воздух из грузовика, здания или самолета. Этот тип атаки означал бы, что споры сибирской язвы могут легко разноситься ветром или переноситься на одежде, обуви и других предметах людей. Требуется лишь небольшое количество сибирской язвы, чтобы заразить большое количество людей.</w:t>
      </w:r>
    </w:p>
    <w:p w:rsidR="00000000" w:rsidDel="00000000" w:rsidP="00000000" w:rsidRDefault="00000000" w:rsidRPr="00000000" w14:paraId="00000080">
      <w:pPr>
        <w:spacing w:after="0" w:line="240" w:lineRule="auto"/>
        <w:ind w:left="0" w:right="0" w:firstLine="0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Если бы споры сибирской язвы попали в воздух, люди могли бы вдохнуть их и заболеть сибирской язвой. Ингаляционная сибирская язва является наиболее серьезной формой и может быстро привести к летальному исходу, если ее немедленно не лечить. Если бы атака не была обнаружена одной из систем мониторинга, действующих в Соединенных Штатах, она могла бы остаться незамеченной до тех пор, пока врачи не начнут замечать необычные формы заболеваний среди больных людей, появляющихся в отделениях неотложной помощи.</w:t>
      </w:r>
    </w:p>
    <w:p w:rsidR="00000000" w:rsidDel="00000000" w:rsidP="00000000" w:rsidRDefault="00000000" w:rsidRPr="00000000" w14:paraId="00000081">
      <w:pPr>
        <w:spacing w:after="0" w:line="240" w:lineRule="auto"/>
        <w:ind w:left="0" w:right="0" w:firstLine="0"/>
        <w:jc w:val="center"/>
        <w:rPr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left="0" w:right="0" w:firstLine="0"/>
        <w:jc w:val="center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Биохимия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0" w:line="240" w:lineRule="auto"/>
        <w:ind w:left="425.19685039370086" w:right="0" w:hanging="360"/>
        <w:jc w:val="both"/>
        <w:rPr>
          <w:color w:val="231f20"/>
          <w:u w:val="none"/>
        </w:rPr>
      </w:pPr>
      <w:r w:rsidDel="00000000" w:rsidR="00000000" w:rsidRPr="00000000">
        <w:rPr>
          <w:color w:val="231f20"/>
          <w:rtl w:val="0"/>
        </w:rPr>
        <w:t xml:space="preserve">Что является основным повреждающим фактором возбудителя сибирской язвы </w:t>
      </w:r>
      <w:r w:rsidDel="00000000" w:rsidR="00000000" w:rsidRPr="00000000">
        <w:rPr>
          <w:i w:val="1"/>
          <w:color w:val="231f20"/>
          <w:rtl w:val="0"/>
        </w:rPr>
        <w:t xml:space="preserve">Bacillus anthracis</w:t>
      </w:r>
      <w:r w:rsidDel="00000000" w:rsidR="00000000" w:rsidRPr="00000000">
        <w:rPr>
          <w:color w:val="231f2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0" w:line="240" w:lineRule="auto"/>
        <w:ind w:left="425.19685039370086" w:right="0" w:hanging="360"/>
        <w:jc w:val="both"/>
        <w:rPr>
          <w:color w:val="231f20"/>
          <w:u w:val="none"/>
        </w:rPr>
      </w:pPr>
      <w:r w:rsidDel="00000000" w:rsidR="00000000" w:rsidRPr="00000000">
        <w:rPr>
          <w:color w:val="231f20"/>
          <w:rtl w:val="0"/>
        </w:rPr>
        <w:t xml:space="preserve">Из каких компонентов состоит экзотоксин этой бактерии и какое действие они оказывают на организм человека?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0" w:line="240" w:lineRule="auto"/>
        <w:ind w:left="425.19685039370086" w:right="0" w:hanging="360"/>
        <w:jc w:val="both"/>
        <w:rPr>
          <w:color w:val="231f20"/>
          <w:u w:val="none"/>
        </w:rPr>
      </w:pPr>
      <w:r w:rsidDel="00000000" w:rsidR="00000000" w:rsidRPr="00000000">
        <w:rPr>
          <w:color w:val="231f20"/>
          <w:rtl w:val="0"/>
        </w:rPr>
        <w:t xml:space="preserve">Какова биохимическая структура клеточной стенки бактерии </w:t>
      </w:r>
      <w:r w:rsidDel="00000000" w:rsidR="00000000" w:rsidRPr="00000000">
        <w:rPr>
          <w:i w:val="1"/>
          <w:color w:val="231f20"/>
          <w:rtl w:val="0"/>
        </w:rPr>
        <w:t xml:space="preserve">Bacillus anthracis</w:t>
      </w:r>
      <w:r w:rsidDel="00000000" w:rsidR="00000000" w:rsidRPr="00000000">
        <w:rPr>
          <w:color w:val="231f20"/>
          <w:rtl w:val="0"/>
        </w:rPr>
        <w:t xml:space="preserve">? Чем объясняется его невероятная устойчивость к неблагоприятным условиям окружающей среды и дезинфицирующим средствам? Какие вещества способны его разрушить?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0" w:line="240" w:lineRule="auto"/>
        <w:ind w:left="425.19685039370086" w:right="0" w:hanging="360"/>
        <w:jc w:val="both"/>
        <w:rPr>
          <w:color w:val="231f20"/>
          <w:u w:val="none"/>
        </w:rPr>
      </w:pPr>
      <w:r w:rsidDel="00000000" w:rsidR="00000000" w:rsidRPr="00000000">
        <w:rPr>
          <w:color w:val="231f20"/>
          <w:rtl w:val="0"/>
        </w:rPr>
        <w:t xml:space="preserve">Какие антибиотики когда-либо разрабатывались против Bacillus anthracis и какие из них в настоящее время успешно используются? Запишите их структурные формулы и объясните механизм их действия на молекулярном уровне.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after="0" w:line="240" w:lineRule="auto"/>
        <w:ind w:left="425.19685039370086" w:right="0" w:hanging="360"/>
        <w:jc w:val="both"/>
        <w:rPr>
          <w:color w:val="231f20"/>
          <w:u w:val="none"/>
        </w:rPr>
      </w:pPr>
      <w:r w:rsidDel="00000000" w:rsidR="00000000" w:rsidRPr="00000000">
        <w:rPr>
          <w:color w:val="231f20"/>
          <w:rtl w:val="0"/>
        </w:rPr>
        <w:t xml:space="preserve">Какие ингибиторы экзотоксина этой бактерии существуют и как они были разработаны? Какие из них эффективны и почему?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0" w:line="240" w:lineRule="auto"/>
        <w:ind w:left="425.19685039370086" w:right="0" w:hanging="360"/>
        <w:jc w:val="both"/>
        <w:rPr>
          <w:color w:val="231f20"/>
          <w:u w:val="none"/>
        </w:rPr>
      </w:pPr>
      <w:r w:rsidDel="00000000" w:rsidR="00000000" w:rsidRPr="00000000">
        <w:rPr>
          <w:color w:val="231f20"/>
          <w:rtl w:val="0"/>
        </w:rPr>
        <w:t xml:space="preserve">Какие новые потенциальные молекулярно-биологические мишени (биомолекулы) для антибиотиков и других лекарств вы можете предложить в этой бактерии?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0" w:right="0" w:firstLine="0"/>
        <w:jc w:val="center"/>
        <w:rPr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left="0" w:right="0" w:firstLine="0"/>
        <w:jc w:val="center"/>
        <w:rPr>
          <w:b w:val="1"/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Иммунология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line="240" w:lineRule="auto"/>
        <w:ind w:left="425.19685039370086" w:right="0" w:hanging="360"/>
        <w:jc w:val="both"/>
        <w:rPr>
          <w:color w:val="231f20"/>
          <w:u w:val="none"/>
        </w:rPr>
      </w:pPr>
      <w:r w:rsidDel="00000000" w:rsidR="00000000" w:rsidRPr="00000000">
        <w:rPr>
          <w:color w:val="231f20"/>
          <w:rtl w:val="0"/>
        </w:rPr>
        <w:t xml:space="preserve">Какой тип иммунного ответа развивается при данной патологии? Опишите подробно и нарисуйте диаграмму, чтобы показать основные этапы развития иммунного ответа.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line="240" w:lineRule="auto"/>
        <w:ind w:left="425.19685039370086" w:right="0" w:hanging="360"/>
        <w:jc w:val="both"/>
        <w:rPr>
          <w:u w:val="none"/>
        </w:rPr>
      </w:pPr>
      <w:r w:rsidDel="00000000" w:rsidR="00000000" w:rsidRPr="00000000">
        <w:rPr>
          <w:color w:val="231f20"/>
          <w:rtl w:val="0"/>
        </w:rPr>
        <w:t xml:space="preserve">Очевидно, что врожденные и адаптивные механизмы иммунного ответа работают взаимозависимо для очистки от патогенов, однако ключевые клетки также играют жизненно важную роль в каждом звене ответа. Укажите роль следующих клеток в иммунном ответе в этом случае.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0" w:line="240" w:lineRule="auto"/>
        <w:ind w:left="425.19685039370086" w:right="110" w:hanging="360"/>
        <w:rPr>
          <w:u w:val="none"/>
        </w:rPr>
      </w:pPr>
      <w:r w:rsidDel="00000000" w:rsidR="00000000" w:rsidRPr="00000000">
        <w:rPr>
          <w:rtl w:val="0"/>
        </w:rPr>
        <w:t xml:space="preserve">Объясните влияние лечения данной патологии на основные звенья иммунитета. Нарисуйте диаграмму, чтобы показать основные этапы развития иммунного ответа, которые происходят после лечения.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-5" w:right="11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-5" w:right="11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Вывод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0" w:line="240" w:lineRule="auto"/>
        <w:ind w:left="-5" w:right="110" w:firstLine="0"/>
        <w:rPr/>
      </w:pPr>
      <w:r w:rsidDel="00000000" w:rsidR="00000000" w:rsidRPr="00000000">
        <w:rPr>
          <w:rtl w:val="0"/>
        </w:rPr>
        <w:t xml:space="preserve">Летальность заболевания вызвана двумя основными факторами вирулентности бактерии: (i) капсулой полиглутаминовой кислоты, которая является антифагоцитарной, и (ii) трехсторонним белковым токсином, называемым токсином сибирской язвы. </w:t>
      </w:r>
    </w:p>
    <w:p w:rsidR="00000000" w:rsidDel="00000000" w:rsidP="00000000" w:rsidRDefault="00000000" w:rsidRPr="00000000" w14:paraId="00000091">
      <w:pPr>
        <w:spacing w:after="0" w:line="240" w:lineRule="auto"/>
        <w:ind w:left="-5" w:right="110" w:firstLine="0"/>
        <w:rPr/>
      </w:pPr>
      <w:r w:rsidDel="00000000" w:rsidR="00000000" w:rsidRPr="00000000">
        <w:rPr>
          <w:rtl w:val="0"/>
        </w:rPr>
        <w:t xml:space="preserve">Устойчивость микроорганизмов к антибиотикам может быть одной из трех основных категорий: </w:t>
      </w:r>
    </w:p>
    <w:p w:rsidR="00000000" w:rsidDel="00000000" w:rsidP="00000000" w:rsidRDefault="00000000" w:rsidRPr="00000000" w14:paraId="00000092">
      <w:pPr>
        <w:spacing w:after="0" w:line="240" w:lineRule="auto"/>
        <w:ind w:left="-5" w:right="110" w:firstLine="0"/>
        <w:rPr/>
      </w:pPr>
      <w:r w:rsidDel="00000000" w:rsidR="00000000" w:rsidRPr="00000000">
        <w:rPr>
          <w:rtl w:val="0"/>
        </w:rPr>
        <w:t xml:space="preserve">•Микроорганизм становится непроницаемым для препарата </w:t>
      </w:r>
    </w:p>
    <w:p w:rsidR="00000000" w:rsidDel="00000000" w:rsidP="00000000" w:rsidRDefault="00000000" w:rsidRPr="00000000" w14:paraId="00000093">
      <w:pPr>
        <w:spacing w:after="0" w:line="240" w:lineRule="auto"/>
        <w:ind w:left="-5" w:right="110" w:firstLine="0"/>
        <w:rPr/>
      </w:pPr>
      <w:r w:rsidDel="00000000" w:rsidR="00000000" w:rsidRPr="00000000">
        <w:rPr>
          <w:rtl w:val="0"/>
        </w:rPr>
        <w:t xml:space="preserve">•Микробный фермент изменяет, дезактивирует или разрушает лекарственное средство. </w:t>
      </w:r>
    </w:p>
    <w:p w:rsidR="00000000" w:rsidDel="00000000" w:rsidP="00000000" w:rsidRDefault="00000000" w:rsidRPr="00000000" w14:paraId="00000094">
      <w:pPr>
        <w:spacing w:after="0" w:line="240" w:lineRule="auto"/>
        <w:ind w:left="-5" w:right="110" w:firstLine="0"/>
        <w:rPr/>
      </w:pPr>
      <w:r w:rsidDel="00000000" w:rsidR="00000000" w:rsidRPr="00000000">
        <w:rPr>
          <w:rtl w:val="0"/>
        </w:rPr>
        <w:t xml:space="preserve">•Мишень препарата мутирует, делая препарат неэффективным. </w:t>
      </w:r>
    </w:p>
    <w:p w:rsidR="00000000" w:rsidDel="00000000" w:rsidP="00000000" w:rsidRDefault="00000000" w:rsidRPr="00000000" w14:paraId="00000095">
      <w:pPr>
        <w:spacing w:after="0" w:line="240" w:lineRule="auto"/>
        <w:ind w:left="-5" w:right="110" w:firstLine="0"/>
        <w:rPr/>
      </w:pPr>
      <w:r w:rsidDel="00000000" w:rsidR="00000000" w:rsidRPr="00000000">
        <w:rPr>
          <w:rtl w:val="0"/>
        </w:rPr>
        <w:t xml:space="preserve">Вы могли бы создать штамм сибирской язвы для экспрессии фермента, такого как пенициллиназа, который инактивировал бы препарат. </w:t>
      </w:r>
    </w:p>
    <w:p w:rsidR="00000000" w:rsidDel="00000000" w:rsidP="00000000" w:rsidRDefault="00000000" w:rsidRPr="00000000" w14:paraId="00000096">
      <w:pPr>
        <w:spacing w:after="0" w:line="240" w:lineRule="auto"/>
        <w:ind w:left="-5" w:right="110" w:firstLine="0"/>
        <w:rPr/>
      </w:pPr>
      <w:r w:rsidDel="00000000" w:rsidR="00000000" w:rsidRPr="00000000">
        <w:rPr>
          <w:rtl w:val="0"/>
        </w:rPr>
        <w:t xml:space="preserve">Иммунная система организма изначально обнаруживает присутствие спор сибирской язвы, распознав молекулы РНК, которые покрывают поверхность спор. Но это вызывает неблагоприятный иммунный ответ, который препятствует борьбе организма с сибирской язвой, как только споры прорастают в живые бактерии, согласно новому исследованию.</w:t>
      </w:r>
    </w:p>
    <w:sectPr>
      <w:pgSz w:h="16860" w:w="11920" w:orient="portrait"/>
      <w:pgMar w:bottom="964.8425196850417" w:top="1133.8582677165355" w:left="1441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06" w:hanging="706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706" w:hanging="706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▪"/>
      <w:lvlJc w:val="left"/>
      <w:pPr>
        <w:ind w:left="706" w:hanging="706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4" w:line="268" w:lineRule="auto"/>
        <w:ind w:left="10" w:right="14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" w:before="0" w:line="259" w:lineRule="auto"/>
      <w:ind w:left="10" w:right="142" w:hanging="1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" w:before="0" w:line="259" w:lineRule="auto"/>
      <w:ind w:left="10" w:right="142" w:hanging="1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8" w:lineRule="auto"/>
      <w:ind w:left="10" w:right="142" w:hanging="1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" w:before="0" w:line="259" w:lineRule="auto"/>
      <w:ind w:left="10" w:right="142" w:hanging="1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4" w:line="268" w:lineRule="auto"/>
      <w:ind w:left="10" w:right="142" w:hanging="10"/>
      <w:jc w:val="both"/>
    </w:pPr>
    <w:rPr>
      <w:rFonts w:ascii="Times New Roman" w:cs="Times New Roman" w:eastAsia="Times New Roman" w:hAnsi="Times New Roman"/>
      <w:color w:val="000000"/>
      <w:sz w:val="24"/>
      <w:szCs w:val="22"/>
      <w:lang w:bidi="ar-SA" w:eastAsia="ru-RU" w:val="ru-RU"/>
    </w:rPr>
  </w:style>
  <w:style w:type="paragraph" w:styleId="2">
    <w:name w:val="heading 1"/>
    <w:next w:val="1"/>
    <w:link w:val="5"/>
    <w:uiPriority w:val="9"/>
    <w:unhideWhenUsed w:val="1"/>
    <w:qFormat w:val="1"/>
    <w:pPr>
      <w:keepNext w:val="1"/>
      <w:keepLines w:val="1"/>
      <w:spacing w:after="16" w:line="259" w:lineRule="auto"/>
      <w:ind w:left="10" w:right="142" w:hanging="10"/>
      <w:jc w:val="center"/>
      <w:outlineLvl w:val="0"/>
    </w:pPr>
    <w:rPr>
      <w:rFonts w:ascii="Times New Roman" w:cs="Times New Roman" w:eastAsia="Times New Roman" w:hAnsi="Times New Roman"/>
      <w:color w:val="000000"/>
      <w:sz w:val="24"/>
      <w:szCs w:val="22"/>
      <w:lang w:bidi="ar-SA" w:eastAsia="ru-RU" w:val="ru-RU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5" w:customStyle="1">
    <w:name w:val="Заголовок 1 Знак"/>
    <w:link w:val="2"/>
    <w:uiPriority w:val="0"/>
    <w:rPr>
      <w:rFonts w:ascii="Times New Roman" w:cs="Times New Roman" w:eastAsia="Times New Roman" w:hAnsi="Times New Roman"/>
      <w:color w:val="000000"/>
      <w:sz w:val="24"/>
    </w:rPr>
  </w:style>
  <w:style w:type="table" w:styleId="6" w:customStyle="1">
    <w:name w:val="TableGrid"/>
    <w:uiPriority w:val="0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4.0" w:type="dxa"/>
        <w:left w:w="98.0" w:type="dxa"/>
        <w:bottom w:w="0.0" w:type="dxa"/>
        <w:right w:w="3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10" w:right="142" w:hanging="1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10" w:right="142" w:hanging="1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/kjmrJGzQZc2mN9457cA3gNOA==">CgMxLjA4AHIhMWU0SmZ4M1JlcTdXTkVabk9WODQ0djl2VVZWNGpNOHF1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2021-06-27T16:38:00Z</dcterms:created>
  <dc:creator>Фатима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